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822E" w14:textId="48A5DEB2" w:rsidR="004646FA" w:rsidRDefault="004646FA" w:rsidP="005075E0">
      <w:pPr>
        <w:pStyle w:val="Zhlav"/>
        <w:spacing w:after="120" w:line="22" w:lineRule="atLeast"/>
        <w:jc w:val="right"/>
        <w:rPr>
          <w:rFonts w:ascii="Calibri" w:hAnsi="Calibri" w:cs="Calibri"/>
          <w:sz w:val="20"/>
        </w:rPr>
      </w:pPr>
      <w:r w:rsidRPr="004644EB">
        <w:rPr>
          <w:rFonts w:ascii="Calibri" w:hAnsi="Calibri" w:cs="Calibri"/>
          <w:sz w:val="20"/>
        </w:rPr>
        <w:t xml:space="preserve">Příloha č. 2 k Dílčí dohodě MV pro rok </w:t>
      </w:r>
      <w:r w:rsidR="00D65269" w:rsidRPr="004644EB">
        <w:rPr>
          <w:rFonts w:ascii="Calibri" w:hAnsi="Calibri" w:cs="Calibri"/>
          <w:sz w:val="20"/>
        </w:rPr>
        <w:t>202</w:t>
      </w:r>
      <w:r w:rsidR="00F54325">
        <w:rPr>
          <w:rFonts w:ascii="Calibri" w:hAnsi="Calibri" w:cs="Calibri"/>
          <w:sz w:val="20"/>
        </w:rPr>
        <w:t>5</w:t>
      </w:r>
    </w:p>
    <w:p w14:paraId="5ABE0B57" w14:textId="77777777" w:rsidR="00A426F4" w:rsidRPr="004644EB" w:rsidRDefault="00A426F4" w:rsidP="005075E0">
      <w:pPr>
        <w:pStyle w:val="Zhlav"/>
        <w:spacing w:after="120" w:line="22" w:lineRule="atLeast"/>
        <w:jc w:val="right"/>
        <w:rPr>
          <w:rFonts w:ascii="Calibri" w:hAnsi="Calibri" w:cs="Calibri"/>
          <w:sz w:val="20"/>
        </w:rPr>
      </w:pPr>
    </w:p>
    <w:p w14:paraId="1740F542" w14:textId="77777777" w:rsidR="003C5A28" w:rsidRPr="004644EB" w:rsidRDefault="003C5A28" w:rsidP="005075E0">
      <w:pPr>
        <w:pStyle w:val="Zhlav"/>
        <w:spacing w:after="120" w:line="22" w:lineRule="atLeast"/>
        <w:jc w:val="right"/>
        <w:rPr>
          <w:rFonts w:ascii="Calibri" w:hAnsi="Calibri" w:cs="Calibri"/>
          <w:sz w:val="20"/>
        </w:rPr>
      </w:pPr>
    </w:p>
    <w:p w14:paraId="320D9096" w14:textId="77777777" w:rsidR="00AA74CC" w:rsidRPr="004644EB" w:rsidRDefault="00AA74CC" w:rsidP="005075E0">
      <w:pPr>
        <w:pStyle w:val="Nadpis1"/>
        <w:spacing w:after="120" w:line="22" w:lineRule="atLeast"/>
        <w:rPr>
          <w:rFonts w:ascii="Calibri" w:hAnsi="Calibri" w:cs="Calibri"/>
        </w:rPr>
      </w:pPr>
      <w:r w:rsidRPr="004644EB">
        <w:rPr>
          <w:rFonts w:ascii="Calibri" w:hAnsi="Calibri" w:cs="Calibri"/>
        </w:rPr>
        <w:t xml:space="preserve">Obsah </w:t>
      </w:r>
      <w:r w:rsidR="008C53C9" w:rsidRPr="004644EB">
        <w:rPr>
          <w:rFonts w:ascii="Calibri" w:hAnsi="Calibri" w:cs="Calibri"/>
        </w:rPr>
        <w:t>programů</w:t>
      </w:r>
      <w:r w:rsidRPr="004644EB">
        <w:rPr>
          <w:rFonts w:ascii="Calibri" w:hAnsi="Calibri" w:cs="Calibri"/>
        </w:rPr>
        <w:t xml:space="preserve"> a podmínky čerpání dotace</w:t>
      </w:r>
    </w:p>
    <w:p w14:paraId="4D709964" w14:textId="77777777" w:rsidR="00DA61FF" w:rsidRPr="00DA61FF" w:rsidRDefault="00DA61FF" w:rsidP="00DA61FF"/>
    <w:p w14:paraId="73B9756E" w14:textId="77777777" w:rsidR="00AA74CC" w:rsidRPr="004644EB" w:rsidRDefault="00AA74CC" w:rsidP="005075E0">
      <w:pPr>
        <w:numPr>
          <w:ilvl w:val="0"/>
          <w:numId w:val="31"/>
        </w:numPr>
        <w:tabs>
          <w:tab w:val="left" w:pos="0"/>
          <w:tab w:val="left" w:pos="720"/>
          <w:tab w:val="left" w:pos="795"/>
        </w:tabs>
        <w:spacing w:after="120" w:line="23" w:lineRule="atLeast"/>
        <w:ind w:left="0" w:firstLine="0"/>
        <w:jc w:val="both"/>
        <w:rPr>
          <w:rFonts w:ascii="Calibri" w:hAnsi="Calibri" w:cs="Calibri"/>
          <w:b/>
          <w:szCs w:val="24"/>
        </w:rPr>
      </w:pPr>
      <w:r w:rsidRPr="004644EB">
        <w:rPr>
          <w:rFonts w:ascii="Calibri" w:hAnsi="Calibri" w:cs="Calibri"/>
          <w:b/>
          <w:szCs w:val="24"/>
        </w:rPr>
        <w:t xml:space="preserve">Obsah </w:t>
      </w:r>
      <w:r w:rsidR="008C53C9" w:rsidRPr="004644EB">
        <w:rPr>
          <w:rFonts w:ascii="Calibri" w:hAnsi="Calibri" w:cs="Calibri"/>
          <w:b/>
          <w:szCs w:val="24"/>
        </w:rPr>
        <w:t>programů</w:t>
      </w:r>
      <w:r w:rsidRPr="004644EB">
        <w:rPr>
          <w:rFonts w:ascii="Calibri" w:hAnsi="Calibri" w:cs="Calibri"/>
          <w:b/>
          <w:szCs w:val="24"/>
        </w:rPr>
        <w:t xml:space="preserve"> a jejich zaměření:</w:t>
      </w:r>
    </w:p>
    <w:p w14:paraId="2CDAF094" w14:textId="77777777" w:rsidR="005075E0" w:rsidRPr="004644EB" w:rsidRDefault="005075E0" w:rsidP="005075E0">
      <w:pPr>
        <w:pStyle w:val="Zhlav"/>
        <w:spacing w:after="120" w:line="23" w:lineRule="atLeast"/>
        <w:ind w:left="1080"/>
        <w:rPr>
          <w:rFonts w:ascii="Calibri" w:hAnsi="Calibri" w:cs="Calibri"/>
          <w:b/>
          <w:szCs w:val="18"/>
        </w:rPr>
      </w:pPr>
    </w:p>
    <w:p w14:paraId="664C1BBB" w14:textId="2F56A777" w:rsidR="009A5C18" w:rsidRPr="004644EB" w:rsidRDefault="009A5C18" w:rsidP="00DA61FF">
      <w:pPr>
        <w:spacing w:after="120" w:line="22" w:lineRule="atLeast"/>
        <w:jc w:val="both"/>
        <w:rPr>
          <w:rFonts w:ascii="Calibri" w:hAnsi="Calibri" w:cs="Calibri"/>
          <w:b/>
          <w:szCs w:val="18"/>
        </w:rPr>
      </w:pPr>
      <w:r w:rsidRPr="004644EB">
        <w:rPr>
          <w:rFonts w:ascii="Calibri" w:hAnsi="Calibri" w:cs="Calibri"/>
          <w:b/>
          <w:szCs w:val="18"/>
        </w:rPr>
        <w:t>Program č. 1.2</w:t>
      </w:r>
    </w:p>
    <w:p w14:paraId="10D0B718" w14:textId="77777777" w:rsidR="009A5C18" w:rsidRPr="004644EB" w:rsidRDefault="00161075" w:rsidP="00DA61FF">
      <w:pPr>
        <w:pStyle w:val="Zkladntext21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Cs w:val="24"/>
        </w:rPr>
        <w:t xml:space="preserve">Podpora systému odborné přípravy a odborné úrovně výkonu služby příslušníků HZS ČR, zaměstnanců podniků a členů jednotek požární ochrany, členů zařízení civilní ochrany, členů složek integrovaného záchranného </w:t>
      </w:r>
      <w:r w:rsidR="00DA61FF" w:rsidRPr="004644EB">
        <w:rPr>
          <w:rFonts w:ascii="Calibri" w:hAnsi="Calibri" w:cs="Calibri"/>
          <w:szCs w:val="24"/>
        </w:rPr>
        <w:t>systému,</w:t>
      </w:r>
      <w:r w:rsidRPr="004644EB">
        <w:rPr>
          <w:rFonts w:ascii="Calibri" w:hAnsi="Calibri" w:cs="Calibri"/>
          <w:szCs w:val="24"/>
        </w:rPr>
        <w:t xml:space="preserve"> státních zaměstnanců a zaměstnanců veřejné správy</w:t>
      </w:r>
      <w:r w:rsidR="005075E0" w:rsidRPr="004644EB">
        <w:rPr>
          <w:rFonts w:ascii="Calibri" w:hAnsi="Calibri" w:cs="Calibri"/>
          <w:sz w:val="22"/>
          <w:szCs w:val="22"/>
        </w:rPr>
        <w:t>.</w:t>
      </w:r>
    </w:p>
    <w:p w14:paraId="320CC53F" w14:textId="77777777" w:rsidR="009A5C18" w:rsidRPr="004644EB" w:rsidRDefault="009A5C18" w:rsidP="00DA61FF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F7DE33" w14:textId="2FA6DC1A" w:rsidR="009A5C18" w:rsidRPr="004644EB" w:rsidRDefault="009A5C18" w:rsidP="00DA61FF">
      <w:p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Účelem dotace je</w:t>
      </w:r>
      <w:r w:rsidRPr="004644EB">
        <w:rPr>
          <w:rFonts w:ascii="Calibri" w:hAnsi="Calibri" w:cs="Calibri"/>
          <w:bCs/>
          <w:sz w:val="22"/>
          <w:szCs w:val="22"/>
        </w:rPr>
        <w:t xml:space="preserve"> z</w:t>
      </w:r>
      <w:r w:rsidRPr="004644EB">
        <w:rPr>
          <w:rFonts w:ascii="Calibri" w:hAnsi="Calibri" w:cs="Calibri"/>
          <w:sz w:val="22"/>
          <w:szCs w:val="22"/>
        </w:rPr>
        <w:t xml:space="preserve">ajištění činnosti Ústředí </w:t>
      </w:r>
      <w:r w:rsidR="00F256D0">
        <w:rPr>
          <w:rFonts w:ascii="Calibri" w:hAnsi="Calibri" w:cs="Calibri"/>
          <w:sz w:val="22"/>
          <w:szCs w:val="22"/>
        </w:rPr>
        <w:t>S</w:t>
      </w:r>
      <w:r w:rsidRPr="004644EB">
        <w:rPr>
          <w:rFonts w:ascii="Calibri" w:hAnsi="Calibri" w:cs="Calibri"/>
          <w:sz w:val="22"/>
          <w:szCs w:val="22"/>
        </w:rPr>
        <w:t>družení hasičů Čech, Moravy a Slezska, krajských a okresních</w:t>
      </w:r>
      <w:r w:rsidR="00DA61FF" w:rsidRPr="004644EB">
        <w:rPr>
          <w:rFonts w:ascii="Calibri" w:hAnsi="Calibri" w:cs="Calibri"/>
          <w:sz w:val="22"/>
          <w:szCs w:val="22"/>
        </w:rPr>
        <w:t xml:space="preserve"> </w:t>
      </w:r>
      <w:r w:rsidRPr="004644EB">
        <w:rPr>
          <w:rFonts w:ascii="Calibri" w:hAnsi="Calibri" w:cs="Calibri"/>
          <w:sz w:val="22"/>
          <w:szCs w:val="22"/>
        </w:rPr>
        <w:t>sdružení hasičů a jejich okrsků a zajištění činnosti orgánů, odborných rad, aktivů SH ČMS a konání seminářů.</w:t>
      </w:r>
    </w:p>
    <w:p w14:paraId="76141BF9" w14:textId="77777777" w:rsidR="009A5C18" w:rsidRPr="004644EB" w:rsidRDefault="009A5C18" w:rsidP="00DA61FF">
      <w:p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Dotace je určena zejména na úhradu:</w:t>
      </w:r>
    </w:p>
    <w:p w14:paraId="7C820A4D" w14:textId="77777777" w:rsidR="005075E0" w:rsidRPr="004644EB" w:rsidRDefault="009A5C18" w:rsidP="00DA61FF">
      <w:pPr>
        <w:numPr>
          <w:ilvl w:val="0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materiálních nebo nemateriálních neinvestičních výdajů jako:</w:t>
      </w:r>
    </w:p>
    <w:p w14:paraId="23D22D13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kancelářský spotřební materiál a kancelářské zařízení neinvestičního charakteru,</w:t>
      </w:r>
    </w:p>
    <w:p w14:paraId="51180A8B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nájem prostor pro jednání poradního orgánu nestátní neziskové organizace,</w:t>
      </w:r>
    </w:p>
    <w:p w14:paraId="22594BC4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nájem prostor pro konání odborných seminářů, odborných konferencí, odborné přípravy, výcviku, vzdělávacího programu, specializačního kurzu, odborného školení, semináře, kurzu nebo jiné akce dle projektu,</w:t>
      </w:r>
    </w:p>
    <w:p w14:paraId="56BC6CCD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učební pomůcky pro přednáškovou činnost,</w:t>
      </w:r>
    </w:p>
    <w:p w14:paraId="15A6E312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služby spojené s pořízením, úpravou a zpracováním dat pro potřeby výukových programů a pomůcek, včetně nákladů na služby spojené s distanční formou konferencí nebo výukových programů,</w:t>
      </w:r>
    </w:p>
    <w:p w14:paraId="3E61E0E9" w14:textId="77777777" w:rsidR="005075E0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>provozní výdaje související s plněním projektu (např. energie, rozmnožování materiálu, poštovné, úhrada služeb apod.),</w:t>
      </w:r>
    </w:p>
    <w:p w14:paraId="4BFE2D66" w14:textId="53ACE97F" w:rsidR="009A5C18" w:rsidRPr="004644EB" w:rsidRDefault="009A5C18" w:rsidP="00DA61FF">
      <w:pPr>
        <w:numPr>
          <w:ilvl w:val="1"/>
          <w:numId w:val="32"/>
        </w:numPr>
        <w:overflowPunct/>
        <w:spacing w:after="120" w:line="22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 xml:space="preserve">ubytování, stravování nebo cestovní náhrady dle příslušných přepisů Ministerstva financí o cestovních náhradách účastníkům nebo lektorům odborné přípravy, odborných konferencí, výcviku, odborného školení, vzdělávacího programu, specializačního kurzu, kurzu, semináře nebo jiných akcí dle projektu. </w:t>
      </w:r>
      <w:r w:rsidRPr="004644EB">
        <w:rPr>
          <w:rFonts w:ascii="Calibri" w:hAnsi="Calibri" w:cs="Calibri"/>
          <w:b/>
          <w:sz w:val="22"/>
          <w:szCs w:val="22"/>
        </w:rPr>
        <w:t>Maximální limit</w:t>
      </w:r>
      <w:r w:rsidRPr="004644EB">
        <w:rPr>
          <w:rFonts w:ascii="Calibri" w:hAnsi="Calibri" w:cs="Calibri"/>
          <w:sz w:val="22"/>
          <w:szCs w:val="22"/>
        </w:rPr>
        <w:t xml:space="preserve"> pro stravování/občerstvení je stanoven </w:t>
      </w:r>
      <w:r w:rsidRPr="004644EB">
        <w:rPr>
          <w:rFonts w:ascii="Calibri" w:hAnsi="Calibri" w:cs="Calibri"/>
          <w:b/>
          <w:sz w:val="22"/>
          <w:szCs w:val="22"/>
        </w:rPr>
        <w:t>2</w:t>
      </w:r>
      <w:r w:rsidR="00F54325">
        <w:rPr>
          <w:rFonts w:ascii="Calibri" w:hAnsi="Calibri" w:cs="Calibri"/>
          <w:b/>
          <w:sz w:val="22"/>
          <w:szCs w:val="22"/>
        </w:rPr>
        <w:t>4</w:t>
      </w:r>
      <w:r w:rsidRPr="004644EB">
        <w:rPr>
          <w:rFonts w:ascii="Calibri" w:hAnsi="Calibri" w:cs="Calibri"/>
          <w:b/>
          <w:sz w:val="22"/>
          <w:szCs w:val="22"/>
        </w:rPr>
        <w:t>0 Kč na den/osobu</w:t>
      </w:r>
      <w:r w:rsidRPr="004644EB"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 w:rsidRPr="004644EB">
        <w:rPr>
          <w:rFonts w:ascii="Calibri" w:hAnsi="Calibri" w:cs="Calibri"/>
          <w:b/>
          <w:sz w:val="22"/>
          <w:szCs w:val="22"/>
        </w:rPr>
        <w:t>trvá minimálně 8 hodin</w:t>
      </w:r>
      <w:r w:rsidRPr="004644EB">
        <w:rPr>
          <w:rFonts w:ascii="Calibri" w:hAnsi="Calibri" w:cs="Calibri"/>
          <w:sz w:val="22"/>
          <w:szCs w:val="22"/>
        </w:rPr>
        <w:t>. V případě, že se nebude jednat o celodenní akci, musí být limitní částka v odpovídajícím poměru zkrácena (</w:t>
      </w:r>
      <w:r w:rsidRPr="004644EB">
        <w:rPr>
          <w:rFonts w:ascii="Calibri" w:hAnsi="Calibri" w:cs="Calibri"/>
          <w:b/>
          <w:sz w:val="22"/>
          <w:szCs w:val="22"/>
        </w:rPr>
        <w:t>za každou celou hodinu</w:t>
      </w:r>
      <w:r w:rsidRPr="004644EB"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 w:rsidR="00F54325">
        <w:rPr>
          <w:rFonts w:ascii="Calibri" w:hAnsi="Calibri" w:cs="Calibri"/>
          <w:b/>
          <w:sz w:val="22"/>
          <w:szCs w:val="22"/>
        </w:rPr>
        <w:t>30</w:t>
      </w:r>
      <w:r w:rsidRPr="004644EB">
        <w:rPr>
          <w:rFonts w:ascii="Calibri" w:hAnsi="Calibri" w:cs="Calibri"/>
          <w:b/>
          <w:sz w:val="22"/>
          <w:szCs w:val="22"/>
        </w:rPr>
        <w:t xml:space="preserve"> Kč na osobu</w:t>
      </w:r>
      <w:r w:rsidRPr="004644EB">
        <w:rPr>
          <w:rFonts w:ascii="Calibri" w:hAnsi="Calibri" w:cs="Calibri"/>
          <w:sz w:val="22"/>
          <w:szCs w:val="22"/>
        </w:rPr>
        <w:t>)</w:t>
      </w:r>
      <w:r w:rsidR="005075E0" w:rsidRPr="004644EB">
        <w:rPr>
          <w:rFonts w:ascii="Calibri" w:hAnsi="Calibri" w:cs="Calibri"/>
          <w:sz w:val="22"/>
          <w:szCs w:val="22"/>
        </w:rPr>
        <w:t>.</w:t>
      </w:r>
    </w:p>
    <w:p w14:paraId="71208B54" w14:textId="77777777" w:rsidR="009A5C18" w:rsidRPr="004644EB" w:rsidRDefault="009A5C18" w:rsidP="00DA61FF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 w:rsidRPr="004644EB">
        <w:rPr>
          <w:rFonts w:ascii="Calibri" w:hAnsi="Calibri" w:cs="Calibri"/>
          <w:b/>
          <w:sz w:val="22"/>
          <w:szCs w:val="22"/>
        </w:rPr>
        <w:t xml:space="preserve">Dotace není určena na mzdové náklady. </w:t>
      </w:r>
    </w:p>
    <w:p w14:paraId="088DF73A" w14:textId="66DB0AD0" w:rsidR="00D65269" w:rsidRPr="004644EB" w:rsidRDefault="00D65269" w:rsidP="00DA61FF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 w:rsidRPr="004644EB">
        <w:rPr>
          <w:rFonts w:ascii="Calibri" w:hAnsi="Calibri" w:cs="Calibri"/>
          <w:sz w:val="22"/>
          <w:szCs w:val="22"/>
        </w:rPr>
        <w:t xml:space="preserve">Dotace se poskytuje maximálně do výše </w:t>
      </w:r>
      <w:r w:rsidR="00C54C14" w:rsidRPr="004644EB">
        <w:rPr>
          <w:rFonts w:ascii="Calibri" w:hAnsi="Calibri" w:cs="Calibri"/>
          <w:sz w:val="22"/>
          <w:szCs w:val="22"/>
        </w:rPr>
        <w:t>69,</w:t>
      </w:r>
      <w:r w:rsidR="009D05D4">
        <w:rPr>
          <w:rFonts w:ascii="Calibri" w:hAnsi="Calibri" w:cs="Calibri"/>
          <w:sz w:val="22"/>
          <w:szCs w:val="22"/>
        </w:rPr>
        <w:t>57</w:t>
      </w:r>
      <w:r w:rsidRPr="004644EB">
        <w:rPr>
          <w:rFonts w:ascii="Calibri" w:hAnsi="Calibri" w:cs="Calibri"/>
          <w:sz w:val="22"/>
          <w:szCs w:val="22"/>
        </w:rPr>
        <w:t xml:space="preserve"> % celkových nákladů projektu.</w:t>
      </w:r>
    </w:p>
    <w:p w14:paraId="49521A27" w14:textId="77777777" w:rsidR="00C734A2" w:rsidRPr="004644EB" w:rsidRDefault="00C734A2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6DC218D7" w14:textId="77777777" w:rsidR="00370FE2" w:rsidRPr="004644EB" w:rsidRDefault="00370FE2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4A3FE5AB" w14:textId="77777777" w:rsidR="00B77396" w:rsidRPr="004644EB" w:rsidRDefault="00B77396" w:rsidP="004C7110">
      <w:pPr>
        <w:numPr>
          <w:ilvl w:val="0"/>
          <w:numId w:val="31"/>
        </w:numPr>
        <w:tabs>
          <w:tab w:val="left" w:pos="0"/>
          <w:tab w:val="left" w:pos="720"/>
          <w:tab w:val="left" w:pos="795"/>
        </w:tabs>
        <w:spacing w:after="120" w:line="23" w:lineRule="atLeast"/>
        <w:ind w:left="0" w:firstLine="0"/>
        <w:jc w:val="both"/>
        <w:rPr>
          <w:rFonts w:ascii="Calibri" w:hAnsi="Calibri" w:cs="Calibri"/>
          <w:b/>
          <w:szCs w:val="24"/>
        </w:rPr>
      </w:pPr>
      <w:r w:rsidRPr="004644EB">
        <w:rPr>
          <w:rFonts w:ascii="Calibri" w:hAnsi="Calibri" w:cs="Calibri"/>
          <w:b/>
          <w:szCs w:val="24"/>
        </w:rPr>
        <w:t>Podmínky čerpání (obecné):</w:t>
      </w:r>
    </w:p>
    <w:p w14:paraId="105AAAD0" w14:textId="77777777" w:rsidR="00B77396" w:rsidRPr="004644EB" w:rsidRDefault="00B77396" w:rsidP="00DA61FF">
      <w:pPr>
        <w:spacing w:after="120" w:line="22" w:lineRule="atLeast"/>
        <w:ind w:firstLine="708"/>
        <w:jc w:val="both"/>
        <w:rPr>
          <w:rFonts w:ascii="Calibri" w:hAnsi="Calibri" w:cs="Calibri"/>
        </w:rPr>
      </w:pPr>
      <w:r w:rsidRPr="004644EB">
        <w:rPr>
          <w:rFonts w:ascii="Calibri" w:hAnsi="Calibri" w:cs="Calibri"/>
        </w:rPr>
        <w:t xml:space="preserve">          (doslovné znění)</w:t>
      </w:r>
    </w:p>
    <w:p w14:paraId="0157B14D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</w:rPr>
      </w:pPr>
    </w:p>
    <w:p w14:paraId="1C39923E" w14:textId="77777777" w:rsidR="005075E0" w:rsidRPr="004644EB" w:rsidRDefault="005075E0" w:rsidP="004C711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4"/>
          <w:szCs w:val="18"/>
        </w:rPr>
      </w:pPr>
      <w:r w:rsidRPr="004644EB">
        <w:rPr>
          <w:rFonts w:ascii="Calibri" w:hAnsi="Calibri" w:cs="Calibri"/>
          <w:sz w:val="24"/>
          <w:szCs w:val="18"/>
        </w:rPr>
        <w:t>Obecná ustanovení, obecné podmínky poskytnutí dotace a povinnosti příjemce dotace</w:t>
      </w:r>
    </w:p>
    <w:p w14:paraId="67AC2200" w14:textId="77777777" w:rsidR="004C7110" w:rsidRDefault="005075E0" w:rsidP="005075E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 xml:space="preserve">MV-GŘ HZS ČR je oprávněno zahájit řízení o odnětí dotace v návaznosti na vázání prostředků státního rozpočtu. </w:t>
      </w:r>
    </w:p>
    <w:p w14:paraId="51A1384C" w14:textId="77777777" w:rsidR="004C7110" w:rsidRDefault="005075E0" w:rsidP="005075E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Dotaci lze použít:</w:t>
      </w:r>
    </w:p>
    <w:p w14:paraId="30F9991F" w14:textId="77777777" w:rsidR="004C7110" w:rsidRDefault="005075E0" w:rsidP="005075E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jen na účel uvedený v rozhodnutí, dotace je účelově vázaná,</w:t>
      </w:r>
    </w:p>
    <w:p w14:paraId="7274081C" w14:textId="7BDA2954" w:rsidR="004C7110" w:rsidRDefault="005075E0" w:rsidP="005075E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pouze na úhradu nákladů, které prokazatelně vznikly od 1. ledna 202</w:t>
      </w:r>
      <w:r w:rsidR="00F54325">
        <w:rPr>
          <w:rFonts w:ascii="Calibri" w:hAnsi="Calibri" w:cs="Calibri"/>
          <w:sz w:val="22"/>
          <w:szCs w:val="18"/>
        </w:rPr>
        <w:t>5</w:t>
      </w:r>
      <w:r w:rsidRPr="004C7110">
        <w:rPr>
          <w:rFonts w:ascii="Calibri" w:hAnsi="Calibri" w:cs="Calibri"/>
          <w:sz w:val="22"/>
          <w:szCs w:val="18"/>
        </w:rPr>
        <w:t xml:space="preserve"> do 31. prosince 202</w:t>
      </w:r>
      <w:r w:rsidR="00F54325">
        <w:rPr>
          <w:rFonts w:ascii="Calibri" w:hAnsi="Calibri" w:cs="Calibri"/>
          <w:sz w:val="22"/>
          <w:szCs w:val="18"/>
        </w:rPr>
        <w:t>5</w:t>
      </w:r>
      <w:r w:rsidRPr="004C7110">
        <w:rPr>
          <w:rFonts w:ascii="Calibri" w:hAnsi="Calibri" w:cs="Calibri"/>
          <w:sz w:val="22"/>
          <w:szCs w:val="18"/>
        </w:rPr>
        <w:t xml:space="preserve"> a výdajů, které souvisejí s obdobím 1. ledna 202</w:t>
      </w:r>
      <w:r w:rsidR="00F54325">
        <w:rPr>
          <w:rFonts w:ascii="Calibri" w:hAnsi="Calibri" w:cs="Calibri"/>
          <w:sz w:val="22"/>
          <w:szCs w:val="18"/>
        </w:rPr>
        <w:t>5</w:t>
      </w:r>
      <w:r w:rsidRPr="004C7110">
        <w:rPr>
          <w:rFonts w:ascii="Calibri" w:hAnsi="Calibri" w:cs="Calibri"/>
          <w:sz w:val="22"/>
          <w:szCs w:val="18"/>
        </w:rPr>
        <w:t xml:space="preserve"> do 31. prosince 202</w:t>
      </w:r>
      <w:r w:rsidR="00F54325">
        <w:rPr>
          <w:rFonts w:ascii="Calibri" w:hAnsi="Calibri" w:cs="Calibri"/>
          <w:sz w:val="22"/>
          <w:szCs w:val="18"/>
        </w:rPr>
        <w:t>5</w:t>
      </w:r>
      <w:r w:rsidRPr="004C7110">
        <w:rPr>
          <w:rFonts w:ascii="Calibri" w:hAnsi="Calibri" w:cs="Calibri"/>
          <w:sz w:val="22"/>
          <w:szCs w:val="18"/>
        </w:rPr>
        <w:t>. Tyto náklady/výdaje musí prokazatelně souviset s účelem dotace uvedeným v rozhodnutí,</w:t>
      </w:r>
    </w:p>
    <w:p w14:paraId="68680FCF" w14:textId="77777777" w:rsidR="005075E0" w:rsidRPr="004C7110" w:rsidRDefault="005075E0" w:rsidP="005075E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na financování pouze těch fyzických nebo právnických osob, které poskytují výkony a služby spojené s realizací projektu, tato podmínka se nevztahuje na financování pobočného spolku (spolků), pokud je příjemce dotace hlavní spolek, který založil pobočný spolek a v rámci plnění projektu mezi nimi dochází k finančním převodům.</w:t>
      </w:r>
    </w:p>
    <w:p w14:paraId="7B3358EE" w14:textId="77777777" w:rsidR="004C711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 xml:space="preserve">Pokud je týž projekt financován ze státního rozpočtu i jiným způsobem než poskytnutím dotace tímto rozhodnutím (např. dotací z kapitoly dalšího ústředního či jiného orgánu státní správy nebo ze státního fondu), nesmí souhrn všech použitých finančních prostředků poskytnutých ze státního rozpočtu překročit 70 % celkových rozpočtovaných </w:t>
      </w:r>
      <w:r w:rsidR="003C5A28" w:rsidRPr="004C7110">
        <w:rPr>
          <w:rFonts w:ascii="Calibri" w:hAnsi="Calibri" w:cs="Calibri"/>
          <w:sz w:val="22"/>
          <w:szCs w:val="18"/>
        </w:rPr>
        <w:t>nákladů,</w:t>
      </w:r>
      <w:r w:rsidRPr="004C7110">
        <w:rPr>
          <w:rFonts w:ascii="Calibri" w:hAnsi="Calibri" w:cs="Calibri"/>
          <w:sz w:val="22"/>
          <w:szCs w:val="18"/>
        </w:rPr>
        <w:t xml:space="preserve"> resp. výdajů projektu.</w:t>
      </w:r>
    </w:p>
    <w:p w14:paraId="7BE78F67" w14:textId="77777777" w:rsidR="005075E0" w:rsidRPr="004C711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Projekt může být spolufinancován z veřejných zdrojů (např. územní rozpočty nebo evropské fondy) a soukromých zdrojů (např. nadační příspěvky, vlastní zdroje příjemce nebo finanční dary od fyzických a právnických osob). Duplicitní úhrada stejných nákladů/výdajů projektu z různých zdrojů včetně zdrojů ze státního rozpočtu není dovolena.</w:t>
      </w:r>
    </w:p>
    <w:p w14:paraId="7D7566D0" w14:textId="77777777" w:rsidR="005075E0" w:rsidRPr="005075E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Dotace se neposkytuje:</w:t>
      </w:r>
    </w:p>
    <w:p w14:paraId="1BF63845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za účelem tvorby zisku příjemce dotace,</w:t>
      </w:r>
    </w:p>
    <w:p w14:paraId="4FD96889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na úhradu osobních nákladů, pokud se na ně nevztahuje písm. B) tohoto rozhodnutí,</w:t>
      </w:r>
    </w:p>
    <w:p w14:paraId="628C35D2" w14:textId="77777777" w:rsidR="005075E0" w:rsidRP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na úhradu nákladů/výdajů na dary, na zahraniční cesty, na reprezentaci, recepce a podobné akce s výjimkou nákladů/výdajů na stravování a občerstvení u akcí plánovaných v projektu.</w:t>
      </w:r>
    </w:p>
    <w:p w14:paraId="37F9A244" w14:textId="77777777" w:rsidR="005075E0" w:rsidRPr="005075E0" w:rsidRDefault="005075E0" w:rsidP="004C7110">
      <w:pPr>
        <w:numPr>
          <w:ilvl w:val="0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Příjemce dotace je povinen:</w:t>
      </w:r>
    </w:p>
    <w:p w14:paraId="7ED2D088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dodržovat zásady hospodárnosti, účelnosti a efektivnosti,</w:t>
      </w:r>
    </w:p>
    <w:p w14:paraId="7896FCB2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vést účetnictví v souladu se zákonem č. 563/1991 Sb., o účetnictví, ve znění pozdějších předpisů, a zároveň vést úplně, průkazně a pravdivě účetnictví tak, aby jednotlivé uznatelné náklady/výdaje hrazené z dotace byly vedeny odděleně od ostatních nákladů/výdajů projektu,</w:t>
      </w:r>
    </w:p>
    <w:p w14:paraId="53692C47" w14:textId="2A6347CA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postupovat v souladu se zákonem č. 134/2016 Sb., o zadávání veřejných zakázek</w:t>
      </w:r>
      <w:r w:rsidR="00F256D0">
        <w:rPr>
          <w:rFonts w:ascii="Calibri" w:hAnsi="Calibri" w:cs="Calibri"/>
          <w:sz w:val="22"/>
          <w:szCs w:val="18"/>
        </w:rPr>
        <w:t>,</w:t>
      </w:r>
      <w:r w:rsidRPr="004C7110">
        <w:rPr>
          <w:rFonts w:ascii="Calibri" w:hAnsi="Calibri" w:cs="Calibri"/>
          <w:sz w:val="22"/>
          <w:szCs w:val="18"/>
        </w:rPr>
        <w:t xml:space="preserve"> ve znění pozdějších předpisů, pokud použije prostředky státního rozpočtu k úhradě zakázky, která je veřejnou zakázkou podle uvedeného zákona,</w:t>
      </w:r>
    </w:p>
    <w:p w14:paraId="04D48420" w14:textId="77777777" w:rsid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t>před případným zánikem organizace vypořádat vztahy se státním rozpočtem,</w:t>
      </w:r>
    </w:p>
    <w:p w14:paraId="67DD7B6A" w14:textId="77777777" w:rsidR="005075E0" w:rsidRPr="004C7110" w:rsidRDefault="005075E0" w:rsidP="004C7110">
      <w:pPr>
        <w:numPr>
          <w:ilvl w:val="1"/>
          <w:numId w:val="34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4C7110">
        <w:rPr>
          <w:rFonts w:ascii="Calibri" w:hAnsi="Calibri" w:cs="Calibri"/>
          <w:sz w:val="22"/>
          <w:szCs w:val="18"/>
        </w:rPr>
        <w:lastRenderedPageBreak/>
        <w:t>oznámit změny všech identifikačních údajů uvedených v žádosti, ke kterým došlo po lhůtě po podání žádosti i v průběhu období, na které byla dotace poskytnuta, a to nejpozději do 14 dnů od této změny. Při oznámení změn identifikačních údajů uvedených v předložené žádosti příjemce dotace přílohu výzvy (upravenou žádost) nedokládá.</w:t>
      </w:r>
    </w:p>
    <w:p w14:paraId="36D48FC3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139C0828" w14:textId="77777777" w:rsidR="005075E0" w:rsidRPr="004644EB" w:rsidRDefault="005075E0" w:rsidP="004C711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4"/>
          <w:szCs w:val="18"/>
        </w:rPr>
      </w:pPr>
      <w:r w:rsidRPr="004644EB">
        <w:rPr>
          <w:rFonts w:ascii="Calibri" w:hAnsi="Calibri" w:cs="Calibri"/>
          <w:sz w:val="24"/>
          <w:szCs w:val="18"/>
        </w:rPr>
        <w:t>Čerpání dotace</w:t>
      </w:r>
    </w:p>
    <w:p w14:paraId="63F1919D" w14:textId="77777777" w:rsidR="00980920" w:rsidRDefault="005075E0" w:rsidP="00980920">
      <w:pPr>
        <w:numPr>
          <w:ilvl w:val="0"/>
          <w:numId w:val="36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Dotaci (v případě stanovení) lze čerpat na úhradu osobních nákladů, kterými jsou mzdové náklady, zákonné pojistné placené zaměstnavatelem a ostatní osobní náklady. Konkrétní výše dotace na osobní náklady se musí stanovit s přihlédnutím k úrovni mzdy za srovnatelnou činnost vykonávanou v rozpočtové sféře.</w:t>
      </w:r>
    </w:p>
    <w:p w14:paraId="456C1EE2" w14:textId="77777777" w:rsidR="005075E0" w:rsidRPr="00980920" w:rsidRDefault="005075E0" w:rsidP="00980920">
      <w:pPr>
        <w:numPr>
          <w:ilvl w:val="0"/>
          <w:numId w:val="36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Příjemce dotace je povinen se při čerpání dotace na projekt řídit ustanoveními uvedenými v čl. I. této přílohy.</w:t>
      </w:r>
    </w:p>
    <w:p w14:paraId="5FE99EB0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2079B6EE" w14:textId="77777777" w:rsidR="005075E0" w:rsidRPr="005075E0" w:rsidRDefault="005075E0" w:rsidP="0098092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18"/>
        </w:rPr>
      </w:pPr>
      <w:r w:rsidRPr="004644EB">
        <w:rPr>
          <w:rFonts w:ascii="Calibri" w:hAnsi="Calibri" w:cs="Calibri"/>
          <w:sz w:val="24"/>
          <w:szCs w:val="18"/>
        </w:rPr>
        <w:t>Vyúčtování</w:t>
      </w:r>
      <w:r w:rsidRPr="005075E0">
        <w:rPr>
          <w:rFonts w:ascii="Calibri" w:hAnsi="Calibri" w:cs="Calibri"/>
          <w:sz w:val="22"/>
          <w:szCs w:val="18"/>
        </w:rPr>
        <w:t xml:space="preserve"> dotace a finanční vypořádání se státním rozpočtem ČR</w:t>
      </w:r>
    </w:p>
    <w:p w14:paraId="786B9F00" w14:textId="77777777" w:rsidR="005075E0" w:rsidRPr="005075E0" w:rsidRDefault="005075E0" w:rsidP="003C5A28">
      <w:pPr>
        <w:numPr>
          <w:ilvl w:val="0"/>
          <w:numId w:val="42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Pokud příjemce dotace nepředloží ve stanoveném termínu vyúčtování poskytnuté dotace a neodvede-li nevyčerpané prostředky z dotace MV-GŘ HZS ČR, vztahují se na něj sankce podle příslušných platných právních předpisů.</w:t>
      </w:r>
    </w:p>
    <w:p w14:paraId="53BFBB55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7D82A14A" w14:textId="77777777" w:rsidR="005075E0" w:rsidRPr="005075E0" w:rsidRDefault="005075E0" w:rsidP="0098092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18"/>
        </w:rPr>
      </w:pPr>
      <w:r w:rsidRPr="004644EB">
        <w:rPr>
          <w:rFonts w:ascii="Calibri" w:hAnsi="Calibri" w:cs="Calibri"/>
          <w:sz w:val="24"/>
          <w:szCs w:val="18"/>
        </w:rPr>
        <w:t>Porušení</w:t>
      </w:r>
      <w:r w:rsidRPr="005075E0">
        <w:rPr>
          <w:rFonts w:ascii="Calibri" w:hAnsi="Calibri" w:cs="Calibri"/>
          <w:sz w:val="22"/>
          <w:szCs w:val="18"/>
        </w:rPr>
        <w:t xml:space="preserve"> rozpočtové kázně a odvody za porušení rozpočtové kázně</w:t>
      </w:r>
    </w:p>
    <w:p w14:paraId="177285ED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Není-li v dalších ustanoveních uvedeno jinak, představuje porušení povinností uvedených v tomto rozhodnutí porušení rozpočtové kázně podle § 44 a § 44a zákona č. 218/2000 Sb.</w:t>
      </w:r>
    </w:p>
    <w:p w14:paraId="1F889A42" w14:textId="77777777" w:rsidR="005075E0" w:rsidRP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V případě, že ve lhůtě, v níž má být dosaženo stanoveného účelu poskytnuté dotace, nebudou naplněny výstupy projektu, bude odvod za porušení rozpočtové kázně stanoven v souladu s § 14 odst. 5 zákona č. 218/2000 Sb., dle následující tabulky: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4785"/>
      </w:tblGrid>
      <w:tr w:rsidR="00E31AF4" w:rsidRPr="004644EB" w14:paraId="1E0DAE54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92A28D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Celková míra naplnění výstupů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2ED7D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Procento odvodu z celkové výše poskytnuté dotace</w:t>
            </w:r>
          </w:p>
        </w:tc>
      </w:tr>
      <w:tr w:rsidR="00E31AF4" w:rsidRPr="004644EB" w14:paraId="3E9FF30E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E57ECC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Více než 85 %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E0704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0 %</w:t>
            </w:r>
          </w:p>
        </w:tc>
      </w:tr>
      <w:tr w:rsidR="00E31AF4" w:rsidRPr="004644EB" w14:paraId="3B11CCA7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3C2852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70 % až 85 %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3892A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10 %</w:t>
            </w:r>
          </w:p>
        </w:tc>
      </w:tr>
      <w:tr w:rsidR="00E31AF4" w:rsidRPr="004644EB" w14:paraId="0ADE3668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E4E594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55 % až 69 %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84079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20 %</w:t>
            </w:r>
          </w:p>
        </w:tc>
      </w:tr>
      <w:tr w:rsidR="00E31AF4" w:rsidRPr="004644EB" w14:paraId="16E937FD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D9DC19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40 % až 54 %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D53EC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30 %</w:t>
            </w:r>
          </w:p>
        </w:tc>
      </w:tr>
      <w:tr w:rsidR="00E31AF4" w:rsidRPr="004644EB" w14:paraId="4F42940C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15A1AE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10 % až 39 %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84F9A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50 %</w:t>
            </w:r>
          </w:p>
        </w:tc>
      </w:tr>
      <w:tr w:rsidR="00E31AF4" w:rsidRPr="004644EB" w14:paraId="3115250F" w14:textId="77777777" w:rsidTr="004644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3666AD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Méně než 10 %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DDE46" w14:textId="77777777" w:rsidR="00E31AF4" w:rsidRPr="004644EB" w:rsidRDefault="00E31AF4" w:rsidP="004644EB">
            <w:pPr>
              <w:spacing w:after="120" w:line="22" w:lineRule="atLeast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4644EB">
              <w:rPr>
                <w:rFonts w:ascii="Calibri" w:hAnsi="Calibri" w:cs="Calibri"/>
                <w:sz w:val="22"/>
                <w:szCs w:val="18"/>
              </w:rPr>
              <w:t>100 %</w:t>
            </w:r>
          </w:p>
        </w:tc>
      </w:tr>
    </w:tbl>
    <w:p w14:paraId="133B6D12" w14:textId="77777777" w:rsidR="00E31AF4" w:rsidRDefault="00E31AF4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69D3FCFD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5075E0">
        <w:rPr>
          <w:rFonts w:ascii="Calibri" w:hAnsi="Calibri" w:cs="Calibri"/>
          <w:sz w:val="22"/>
          <w:szCs w:val="18"/>
        </w:rPr>
        <w:t>Pokud bude celková míra naplnění výstupů projektu nižší než 100 %, avšak mezi mírou naplnění výstupů projektu a mírou čerpání finančních prostředků dotace bude odpovídající poměr, pak nebude příjemci dotace za nedosažení výstupů projektu vyměřen odvod. Vždy však musí být dodržen účel dotace, na který byla dotace poskytnuta a provedena vratka nevyčerpané dotace.</w:t>
      </w:r>
    </w:p>
    <w:p w14:paraId="049D719F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Pokud celková míra naplnění výstupů projektu bude nižší než 10 %, bude projekt klasifikován jako takový, který nenaplnil účel, na který byla dotace poskytnuta.</w:t>
      </w:r>
    </w:p>
    <w:p w14:paraId="271C8FF8" w14:textId="77777777" w:rsid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t>Překročení celkového počtu výstupů projektu nebude postihnuto odvodem.</w:t>
      </w:r>
    </w:p>
    <w:p w14:paraId="0DCBE135" w14:textId="77777777" w:rsidR="005075E0" w:rsidRPr="00980920" w:rsidRDefault="005075E0" w:rsidP="00980920">
      <w:pPr>
        <w:numPr>
          <w:ilvl w:val="0"/>
          <w:numId w:val="39"/>
        </w:num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980920">
        <w:rPr>
          <w:rFonts w:ascii="Calibri" w:hAnsi="Calibri" w:cs="Calibri"/>
          <w:sz w:val="22"/>
          <w:szCs w:val="18"/>
        </w:rPr>
        <w:lastRenderedPageBreak/>
        <w:t>Součet odvodů za porušení rozpočtové kázně nemůže být vyšší než celková částka poskytnuté dotace v případě, že bude provedena vratka, odečte se její výše od poskytnuté dotace.</w:t>
      </w:r>
    </w:p>
    <w:p w14:paraId="618B6600" w14:textId="77777777" w:rsidR="005075E0" w:rsidRPr="005075E0" w:rsidRDefault="005075E0" w:rsidP="005075E0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18"/>
        </w:rPr>
      </w:pPr>
    </w:p>
    <w:p w14:paraId="3BD4ED3C" w14:textId="77777777" w:rsidR="005075E0" w:rsidRPr="003C5A28" w:rsidRDefault="005075E0" w:rsidP="00980920">
      <w:pPr>
        <w:pStyle w:val="Nadpis2"/>
        <w:spacing w:after="120" w:line="276" w:lineRule="auto"/>
        <w:ind w:left="714" w:hanging="357"/>
        <w:jc w:val="both"/>
        <w:rPr>
          <w:rFonts w:ascii="Calibri" w:hAnsi="Calibri" w:cs="Calibri"/>
          <w:sz w:val="24"/>
        </w:rPr>
      </w:pPr>
      <w:r w:rsidRPr="003C5A28">
        <w:rPr>
          <w:rFonts w:ascii="Calibri" w:hAnsi="Calibri" w:cs="Calibri"/>
          <w:sz w:val="24"/>
        </w:rPr>
        <w:t>Kontrola použití dotace</w:t>
      </w:r>
    </w:p>
    <w:p w14:paraId="729DEB77" w14:textId="77777777" w:rsidR="003C5A28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 xml:space="preserve">Použití dotace podléhá ve smyslu ustanovení § 7 a § 8 zákona č. 320/2001 Sb., o finanční kontrole ve veřejné správě a o změně některých zákonů (zákon o finanční kontrole), ve znění pozdějších předpisů, veřejnosprávní kontrole vykonávané specializovanými kontrolními orgány Ministerstva vnitra, Ministerstva financí a orgány Finanční správy. Procesní pravidla výkonu následné veřejnosprávní kontroly na místě jsou </w:t>
      </w:r>
      <w:r w:rsidR="003C5A28" w:rsidRPr="003C5A28">
        <w:rPr>
          <w:rFonts w:ascii="Calibri" w:hAnsi="Calibri" w:cs="Calibri"/>
          <w:sz w:val="22"/>
          <w:szCs w:val="22"/>
        </w:rPr>
        <w:t>stanovena</w:t>
      </w:r>
      <w:r w:rsidRPr="003C5A28">
        <w:rPr>
          <w:rFonts w:ascii="Calibri" w:hAnsi="Calibri" w:cs="Calibri"/>
          <w:sz w:val="22"/>
          <w:szCs w:val="22"/>
        </w:rPr>
        <w:t xml:space="preserve"> zákonem č. 255/2012 Sb., o kontrole (kontrolní řád) ve znění zákona č. 183/2017 Sb.</w:t>
      </w:r>
    </w:p>
    <w:p w14:paraId="2F5F17D0" w14:textId="77777777" w:rsidR="003C5A28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>V případě, že příjemce dotace nepoužije dotaci k účelu, na který byla dotace poskytnuta, vystavuje se sankcím podle § 44 zákona č. 218/2000 Sb.</w:t>
      </w:r>
    </w:p>
    <w:p w14:paraId="6E214979" w14:textId="77777777" w:rsidR="003C5A28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>V případě, že příjemce dotace nepovede účetnictví o čerpání a použití dotace odděleně v souladu se zákonem č. 563/1991 Sb., o účetnictví, ve znění pozdějších předpisů, vystavuje se sankcím podle § 37 tohoto zákona.</w:t>
      </w:r>
    </w:p>
    <w:p w14:paraId="0E0C88AB" w14:textId="77777777" w:rsidR="00B77396" w:rsidRPr="003C5A28" w:rsidRDefault="005075E0" w:rsidP="003C5A28">
      <w:pPr>
        <w:numPr>
          <w:ilvl w:val="0"/>
          <w:numId w:val="4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 w:rsidRPr="003C5A28">
        <w:rPr>
          <w:rFonts w:ascii="Calibri" w:hAnsi="Calibri" w:cs="Calibri"/>
          <w:sz w:val="22"/>
          <w:szCs w:val="22"/>
        </w:rPr>
        <w:t>MV-GŘ HZS ČR je oprávněno u příjemce dotace ověřovat věcné plnění projektu pro posouzení, zda příjemce dotace dodržuje vydané rozhodnutí</w:t>
      </w:r>
      <w:r w:rsidR="003C5A28" w:rsidRPr="003C5A28">
        <w:rPr>
          <w:rFonts w:ascii="Calibri" w:hAnsi="Calibri" w:cs="Calibri"/>
          <w:sz w:val="22"/>
          <w:szCs w:val="22"/>
        </w:rPr>
        <w:t>.</w:t>
      </w:r>
    </w:p>
    <w:p w14:paraId="11E3B635" w14:textId="77777777" w:rsidR="00B77396" w:rsidRPr="004644EB" w:rsidRDefault="00B77396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67D1B790" w14:textId="77777777" w:rsidR="00B77396" w:rsidRPr="004644EB" w:rsidRDefault="00B77396" w:rsidP="00DA61FF">
      <w:pPr>
        <w:spacing w:after="120" w:line="22" w:lineRule="atLeast"/>
        <w:jc w:val="both"/>
        <w:rPr>
          <w:rFonts w:ascii="Calibri" w:hAnsi="Calibri" w:cs="Calibri"/>
        </w:rPr>
      </w:pPr>
    </w:p>
    <w:p w14:paraId="737C04DF" w14:textId="5F13F679" w:rsidR="00B77396" w:rsidRPr="004644EB" w:rsidRDefault="00B77396" w:rsidP="00DA61FF">
      <w:pPr>
        <w:spacing w:after="120" w:line="22" w:lineRule="atLeast"/>
        <w:jc w:val="both"/>
        <w:rPr>
          <w:rFonts w:ascii="Calibri" w:hAnsi="Calibri" w:cs="Calibri"/>
          <w:sz w:val="22"/>
          <w:szCs w:val="18"/>
        </w:rPr>
      </w:pPr>
      <w:r w:rsidRPr="002343C2">
        <w:rPr>
          <w:rFonts w:ascii="Calibri" w:hAnsi="Calibri" w:cs="Calibri"/>
          <w:sz w:val="22"/>
          <w:szCs w:val="18"/>
        </w:rPr>
        <w:t xml:space="preserve">V Praze dne </w:t>
      </w:r>
      <w:r w:rsidR="002343C2" w:rsidRPr="002343C2">
        <w:rPr>
          <w:rFonts w:ascii="Calibri" w:hAnsi="Calibri" w:cs="Calibri"/>
          <w:sz w:val="22"/>
          <w:szCs w:val="18"/>
        </w:rPr>
        <w:t>2</w:t>
      </w:r>
      <w:r w:rsidR="00F54325">
        <w:rPr>
          <w:rFonts w:ascii="Calibri" w:hAnsi="Calibri" w:cs="Calibri"/>
          <w:sz w:val="22"/>
          <w:szCs w:val="18"/>
        </w:rPr>
        <w:t>8</w:t>
      </w:r>
      <w:r w:rsidR="00FA516F" w:rsidRPr="002343C2">
        <w:rPr>
          <w:rFonts w:ascii="Calibri" w:hAnsi="Calibri" w:cs="Calibri"/>
          <w:sz w:val="22"/>
          <w:szCs w:val="18"/>
        </w:rPr>
        <w:t>.</w:t>
      </w:r>
      <w:r w:rsidR="003C5A28" w:rsidRPr="002343C2">
        <w:rPr>
          <w:rFonts w:ascii="Calibri" w:hAnsi="Calibri" w:cs="Calibri"/>
          <w:sz w:val="22"/>
          <w:szCs w:val="18"/>
        </w:rPr>
        <w:t xml:space="preserve"> </w:t>
      </w:r>
      <w:r w:rsidR="00F54325">
        <w:rPr>
          <w:rFonts w:ascii="Calibri" w:hAnsi="Calibri" w:cs="Calibri"/>
          <w:sz w:val="22"/>
          <w:szCs w:val="18"/>
        </w:rPr>
        <w:t>7</w:t>
      </w:r>
      <w:r w:rsidR="00FA516F" w:rsidRPr="002343C2">
        <w:rPr>
          <w:rFonts w:ascii="Calibri" w:hAnsi="Calibri" w:cs="Calibri"/>
          <w:sz w:val="22"/>
          <w:szCs w:val="18"/>
        </w:rPr>
        <w:t>.</w:t>
      </w:r>
      <w:r w:rsidR="003C5A28" w:rsidRPr="002343C2">
        <w:rPr>
          <w:rFonts w:ascii="Calibri" w:hAnsi="Calibri" w:cs="Calibri"/>
          <w:sz w:val="22"/>
          <w:szCs w:val="18"/>
        </w:rPr>
        <w:t xml:space="preserve"> </w:t>
      </w:r>
      <w:r w:rsidRPr="002343C2">
        <w:rPr>
          <w:rFonts w:ascii="Calibri" w:hAnsi="Calibri" w:cs="Calibri"/>
          <w:sz w:val="22"/>
          <w:szCs w:val="18"/>
        </w:rPr>
        <w:t>202</w:t>
      </w:r>
      <w:r w:rsidR="00F54325">
        <w:rPr>
          <w:rFonts w:ascii="Calibri" w:hAnsi="Calibri" w:cs="Calibri"/>
          <w:sz w:val="22"/>
          <w:szCs w:val="18"/>
        </w:rPr>
        <w:t>5</w:t>
      </w:r>
    </w:p>
    <w:p w14:paraId="77D3DEFC" w14:textId="77777777" w:rsidR="00B77396" w:rsidRPr="004644EB" w:rsidRDefault="00B77396" w:rsidP="00DA61FF">
      <w:pPr>
        <w:spacing w:after="120" w:line="22" w:lineRule="atLeast"/>
        <w:ind w:firstLine="708"/>
        <w:jc w:val="both"/>
        <w:rPr>
          <w:rFonts w:ascii="Calibri" w:hAnsi="Calibri" w:cs="Calibri"/>
        </w:rPr>
      </w:pPr>
    </w:p>
    <w:p w14:paraId="161E730B" w14:textId="77777777" w:rsidR="00AA74CC" w:rsidRPr="004644EB" w:rsidRDefault="00AA74CC" w:rsidP="00DA61FF">
      <w:pPr>
        <w:tabs>
          <w:tab w:val="left" w:pos="795"/>
        </w:tabs>
        <w:spacing w:after="120" w:line="22" w:lineRule="atLeast"/>
        <w:jc w:val="both"/>
        <w:rPr>
          <w:rFonts w:ascii="Calibri" w:hAnsi="Calibri" w:cs="Calibri"/>
        </w:rPr>
      </w:pPr>
    </w:p>
    <w:sectPr w:rsidR="00AA74CC" w:rsidRPr="004644EB" w:rsidSect="00DA61FF">
      <w:footerReference w:type="default" r:id="rId8"/>
      <w:pgSz w:w="11906" w:h="16838"/>
      <w:pgMar w:top="1417" w:right="1417" w:bottom="1417" w:left="1417" w:header="284" w:footer="2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B20E" w14:textId="77777777" w:rsidR="00831133" w:rsidRDefault="00831133">
      <w:r>
        <w:separator/>
      </w:r>
    </w:p>
  </w:endnote>
  <w:endnote w:type="continuationSeparator" w:id="0">
    <w:p w14:paraId="1C344208" w14:textId="77777777" w:rsidR="00831133" w:rsidRDefault="0083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D3D2" w14:textId="77777777" w:rsidR="0015513F" w:rsidRPr="004644EB" w:rsidRDefault="0015513F" w:rsidP="000F6891">
    <w:pPr>
      <w:pStyle w:val="Zpat"/>
      <w:framePr w:h="267" w:hRule="exact" w:wrap="auto" w:vAnchor="text" w:hAnchor="page" w:x="5902" w:y="-25"/>
      <w:rPr>
        <w:rStyle w:val="slostrnky"/>
        <w:rFonts w:ascii="Calibri" w:hAnsi="Calibri" w:cs="Calibri"/>
        <w:sz w:val="20"/>
        <w:szCs w:val="16"/>
      </w:rPr>
    </w:pPr>
    <w:r w:rsidRPr="004644EB">
      <w:rPr>
        <w:rStyle w:val="slostrnky"/>
        <w:rFonts w:ascii="Calibri" w:hAnsi="Calibri" w:cs="Calibri"/>
        <w:sz w:val="20"/>
        <w:szCs w:val="16"/>
      </w:rPr>
      <w:fldChar w:fldCharType="begin"/>
    </w:r>
    <w:r w:rsidRPr="004644EB">
      <w:rPr>
        <w:rStyle w:val="slostrnky"/>
        <w:rFonts w:ascii="Calibri" w:hAnsi="Calibri" w:cs="Calibri"/>
        <w:sz w:val="20"/>
        <w:szCs w:val="16"/>
      </w:rPr>
      <w:instrText xml:space="preserve">PAGE  </w:instrText>
    </w:r>
    <w:r w:rsidRPr="004644EB">
      <w:rPr>
        <w:rStyle w:val="slostrnky"/>
        <w:rFonts w:ascii="Calibri" w:hAnsi="Calibri" w:cs="Calibri"/>
        <w:sz w:val="20"/>
        <w:szCs w:val="16"/>
      </w:rPr>
      <w:fldChar w:fldCharType="separate"/>
    </w:r>
    <w:r w:rsidR="004D0648" w:rsidRPr="004644EB">
      <w:rPr>
        <w:rStyle w:val="slostrnky"/>
        <w:rFonts w:ascii="Calibri" w:hAnsi="Calibri" w:cs="Calibri"/>
        <w:noProof/>
        <w:sz w:val="20"/>
        <w:szCs w:val="16"/>
      </w:rPr>
      <w:t>1</w:t>
    </w:r>
    <w:r w:rsidRPr="004644EB">
      <w:rPr>
        <w:rStyle w:val="slostrnky"/>
        <w:rFonts w:ascii="Calibri" w:hAnsi="Calibri" w:cs="Calibri"/>
        <w:sz w:val="20"/>
        <w:szCs w:val="16"/>
      </w:rPr>
      <w:fldChar w:fldCharType="end"/>
    </w:r>
  </w:p>
  <w:p w14:paraId="37231873" w14:textId="77777777" w:rsidR="0015513F" w:rsidRDefault="00155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7EF0" w14:textId="77777777" w:rsidR="00831133" w:rsidRDefault="00831133">
      <w:r>
        <w:separator/>
      </w:r>
    </w:p>
  </w:footnote>
  <w:footnote w:type="continuationSeparator" w:id="0">
    <w:p w14:paraId="3CE98668" w14:textId="77777777" w:rsidR="00831133" w:rsidRDefault="0083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402"/>
    <w:multiLevelType w:val="hybridMultilevel"/>
    <w:tmpl w:val="7DCC61B2"/>
    <w:lvl w:ilvl="0" w:tplc="EFAEA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BF4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 w15:restartNumberingAfterBreak="0">
    <w:nsid w:val="05AE15B8"/>
    <w:multiLevelType w:val="hybridMultilevel"/>
    <w:tmpl w:val="B0006F72"/>
    <w:lvl w:ilvl="0" w:tplc="219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ADC"/>
    <w:multiLevelType w:val="hybridMultilevel"/>
    <w:tmpl w:val="DA64E0B2"/>
    <w:lvl w:ilvl="0" w:tplc="EE9EDBD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07716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0A7A23C4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358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0D0D6B03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154C33B0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5122"/>
    <w:multiLevelType w:val="hybridMultilevel"/>
    <w:tmpl w:val="62BC1FEA"/>
    <w:lvl w:ilvl="0" w:tplc="0904265E"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D94DB9"/>
    <w:multiLevelType w:val="hybridMultilevel"/>
    <w:tmpl w:val="FC0A93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93B5A"/>
    <w:multiLevelType w:val="hybridMultilevel"/>
    <w:tmpl w:val="588A191C"/>
    <w:lvl w:ilvl="0" w:tplc="B93E06D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2" w15:restartNumberingAfterBreak="0">
    <w:nsid w:val="1E3104FF"/>
    <w:multiLevelType w:val="hybridMultilevel"/>
    <w:tmpl w:val="CB80853E"/>
    <w:lvl w:ilvl="0" w:tplc="24BA5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53F2"/>
    <w:multiLevelType w:val="multilevel"/>
    <w:tmpl w:val="291EC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29696AF1"/>
    <w:multiLevelType w:val="hybridMultilevel"/>
    <w:tmpl w:val="D6B0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D2AB2"/>
    <w:multiLevelType w:val="hybridMultilevel"/>
    <w:tmpl w:val="76C83D32"/>
    <w:lvl w:ilvl="0" w:tplc="4E0A5658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127D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5EB0"/>
    <w:multiLevelType w:val="hybridMultilevel"/>
    <w:tmpl w:val="902EA6BA"/>
    <w:lvl w:ilvl="0" w:tplc="B23A1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1053A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9" w15:restartNumberingAfterBreak="0">
    <w:nsid w:val="3447454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3B2775D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3DEC55A8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914"/>
    <w:multiLevelType w:val="multilevel"/>
    <w:tmpl w:val="2364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3" w15:restartNumberingAfterBreak="0">
    <w:nsid w:val="43443FE2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15E61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638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53147C79"/>
    <w:multiLevelType w:val="hybridMultilevel"/>
    <w:tmpl w:val="1E6A19F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4C3FF8"/>
    <w:multiLevelType w:val="hybridMultilevel"/>
    <w:tmpl w:val="D40C74D6"/>
    <w:lvl w:ilvl="0" w:tplc="0405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D1E08EE"/>
    <w:multiLevelType w:val="multilevel"/>
    <w:tmpl w:val="8D20A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9" w15:restartNumberingAfterBreak="0">
    <w:nsid w:val="5D9023FC"/>
    <w:multiLevelType w:val="hybridMultilevel"/>
    <w:tmpl w:val="AFFE19FE"/>
    <w:lvl w:ilvl="0" w:tplc="643E1DF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55C29"/>
    <w:multiLevelType w:val="hybridMultilevel"/>
    <w:tmpl w:val="BE123D2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1" w15:restartNumberingAfterBreak="0">
    <w:nsid w:val="61EE2FA3"/>
    <w:multiLevelType w:val="hybridMultilevel"/>
    <w:tmpl w:val="8EFCD434"/>
    <w:lvl w:ilvl="0" w:tplc="773CA3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6D668D"/>
    <w:multiLevelType w:val="hybridMultilevel"/>
    <w:tmpl w:val="902EA6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65A9D"/>
    <w:multiLevelType w:val="hybridMultilevel"/>
    <w:tmpl w:val="D674C3DC"/>
    <w:lvl w:ilvl="0" w:tplc="5A04C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C4F7A"/>
    <w:multiLevelType w:val="hybridMultilevel"/>
    <w:tmpl w:val="60505144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57A16"/>
    <w:multiLevelType w:val="hybridMultilevel"/>
    <w:tmpl w:val="21423848"/>
    <w:lvl w:ilvl="0" w:tplc="098C7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BC41C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A58E7"/>
    <w:multiLevelType w:val="hybridMultilevel"/>
    <w:tmpl w:val="A3429314"/>
    <w:lvl w:ilvl="0" w:tplc="3014EAE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201E"/>
    <w:multiLevelType w:val="hybridMultilevel"/>
    <w:tmpl w:val="B136DC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7096306">
    <w:abstractNumId w:val="28"/>
  </w:num>
  <w:num w:numId="2" w16cid:durableId="564923462">
    <w:abstractNumId w:val="2"/>
  </w:num>
  <w:num w:numId="3" w16cid:durableId="214780653">
    <w:abstractNumId w:val="29"/>
  </w:num>
  <w:num w:numId="4" w16cid:durableId="877163171">
    <w:abstractNumId w:val="30"/>
  </w:num>
  <w:num w:numId="5" w16cid:durableId="554781096">
    <w:abstractNumId w:val="11"/>
  </w:num>
  <w:num w:numId="6" w16cid:durableId="2116367891">
    <w:abstractNumId w:val="13"/>
  </w:num>
  <w:num w:numId="7" w16cid:durableId="575406359">
    <w:abstractNumId w:val="22"/>
  </w:num>
  <w:num w:numId="8" w16cid:durableId="2093699203">
    <w:abstractNumId w:val="15"/>
  </w:num>
  <w:num w:numId="9" w16cid:durableId="152722196">
    <w:abstractNumId w:val="31"/>
  </w:num>
  <w:num w:numId="10" w16cid:durableId="1456563984">
    <w:abstractNumId w:val="12"/>
  </w:num>
  <w:num w:numId="11" w16cid:durableId="798650180">
    <w:abstractNumId w:val="33"/>
  </w:num>
  <w:num w:numId="12" w16cid:durableId="1218275474">
    <w:abstractNumId w:val="23"/>
  </w:num>
  <w:num w:numId="13" w16cid:durableId="1931155274">
    <w:abstractNumId w:val="10"/>
  </w:num>
  <w:num w:numId="14" w16cid:durableId="567229105">
    <w:abstractNumId w:val="34"/>
  </w:num>
  <w:num w:numId="15" w16cid:durableId="1549606841">
    <w:abstractNumId w:val="6"/>
  </w:num>
  <w:num w:numId="16" w16cid:durableId="904029439">
    <w:abstractNumId w:val="20"/>
  </w:num>
  <w:num w:numId="17" w16cid:durableId="1199854676">
    <w:abstractNumId w:val="25"/>
  </w:num>
  <w:num w:numId="18" w16cid:durableId="1876236240">
    <w:abstractNumId w:val="21"/>
  </w:num>
  <w:num w:numId="19" w16cid:durableId="795607697">
    <w:abstractNumId w:val="16"/>
  </w:num>
  <w:num w:numId="20" w16cid:durableId="612707539">
    <w:abstractNumId w:val="36"/>
  </w:num>
  <w:num w:numId="21" w16cid:durableId="1669555126">
    <w:abstractNumId w:val="37"/>
  </w:num>
  <w:num w:numId="22" w16cid:durableId="2012024161">
    <w:abstractNumId w:val="9"/>
  </w:num>
  <w:num w:numId="23" w16cid:durableId="2106268425">
    <w:abstractNumId w:val="18"/>
  </w:num>
  <w:num w:numId="24" w16cid:durableId="1501433401">
    <w:abstractNumId w:val="4"/>
  </w:num>
  <w:num w:numId="25" w16cid:durableId="1096555074">
    <w:abstractNumId w:val="19"/>
  </w:num>
  <w:num w:numId="26" w16cid:durableId="502011399">
    <w:abstractNumId w:val="7"/>
  </w:num>
  <w:num w:numId="27" w16cid:durableId="848180427">
    <w:abstractNumId w:val="26"/>
  </w:num>
  <w:num w:numId="28" w16cid:durableId="418841600">
    <w:abstractNumId w:val="3"/>
  </w:num>
  <w:num w:numId="29" w16cid:durableId="278076066">
    <w:abstractNumId w:val="27"/>
  </w:num>
  <w:num w:numId="30" w16cid:durableId="1675918679">
    <w:abstractNumId w:val="0"/>
  </w:num>
  <w:num w:numId="31" w16cid:durableId="1331953740">
    <w:abstractNumId w:val="35"/>
  </w:num>
  <w:num w:numId="32" w16cid:durableId="227306705">
    <w:abstractNumId w:val="14"/>
  </w:num>
  <w:num w:numId="33" w16cid:durableId="1249970474">
    <w:abstractNumId w:val="1"/>
  </w:num>
  <w:num w:numId="34" w16cid:durableId="929890887">
    <w:abstractNumId w:val="17"/>
  </w:num>
  <w:num w:numId="35" w16cid:durableId="2144689536">
    <w:abstractNumId w:val="1"/>
  </w:num>
  <w:num w:numId="36" w16cid:durableId="851458618">
    <w:abstractNumId w:val="24"/>
  </w:num>
  <w:num w:numId="37" w16cid:durableId="2125878700">
    <w:abstractNumId w:val="1"/>
  </w:num>
  <w:num w:numId="38" w16cid:durableId="1786609033">
    <w:abstractNumId w:val="1"/>
  </w:num>
  <w:num w:numId="39" w16cid:durableId="1140850811">
    <w:abstractNumId w:val="8"/>
  </w:num>
  <w:num w:numId="40" w16cid:durableId="726145935">
    <w:abstractNumId w:val="1"/>
  </w:num>
  <w:num w:numId="41" w16cid:durableId="1855654475">
    <w:abstractNumId w:val="5"/>
  </w:num>
  <w:num w:numId="42" w16cid:durableId="15148397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9"/>
    <w:rsid w:val="000059EE"/>
    <w:rsid w:val="00012585"/>
    <w:rsid w:val="00020F17"/>
    <w:rsid w:val="0004079A"/>
    <w:rsid w:val="00047E86"/>
    <w:rsid w:val="0007643C"/>
    <w:rsid w:val="00082475"/>
    <w:rsid w:val="00085836"/>
    <w:rsid w:val="00086F83"/>
    <w:rsid w:val="000B2F22"/>
    <w:rsid w:val="000F6891"/>
    <w:rsid w:val="000F784F"/>
    <w:rsid w:val="00116E81"/>
    <w:rsid w:val="0012350F"/>
    <w:rsid w:val="00153601"/>
    <w:rsid w:val="0015513F"/>
    <w:rsid w:val="00161075"/>
    <w:rsid w:val="00163A2B"/>
    <w:rsid w:val="00192452"/>
    <w:rsid w:val="001B527C"/>
    <w:rsid w:val="001E489C"/>
    <w:rsid w:val="001E6B85"/>
    <w:rsid w:val="001E7C85"/>
    <w:rsid w:val="001F3047"/>
    <w:rsid w:val="0022476F"/>
    <w:rsid w:val="002343C2"/>
    <w:rsid w:val="002346D7"/>
    <w:rsid w:val="00287A96"/>
    <w:rsid w:val="002A59D7"/>
    <w:rsid w:val="002A6782"/>
    <w:rsid w:val="002D268A"/>
    <w:rsid w:val="002F2554"/>
    <w:rsid w:val="003019AB"/>
    <w:rsid w:val="0030384D"/>
    <w:rsid w:val="00370FE2"/>
    <w:rsid w:val="00375FC5"/>
    <w:rsid w:val="003B5ED6"/>
    <w:rsid w:val="003C48B9"/>
    <w:rsid w:val="003C5A28"/>
    <w:rsid w:val="003C60D1"/>
    <w:rsid w:val="003F5BC9"/>
    <w:rsid w:val="00400D29"/>
    <w:rsid w:val="00404FB3"/>
    <w:rsid w:val="00434AD9"/>
    <w:rsid w:val="004501AA"/>
    <w:rsid w:val="004538D8"/>
    <w:rsid w:val="00454676"/>
    <w:rsid w:val="004644EB"/>
    <w:rsid w:val="004646FA"/>
    <w:rsid w:val="00477E7D"/>
    <w:rsid w:val="004C7110"/>
    <w:rsid w:val="004D0648"/>
    <w:rsid w:val="004D4BBA"/>
    <w:rsid w:val="004D71DF"/>
    <w:rsid w:val="0050618E"/>
    <w:rsid w:val="005075E0"/>
    <w:rsid w:val="00507D46"/>
    <w:rsid w:val="00536551"/>
    <w:rsid w:val="00553944"/>
    <w:rsid w:val="00582FE0"/>
    <w:rsid w:val="0059516B"/>
    <w:rsid w:val="005A366A"/>
    <w:rsid w:val="005D0CEA"/>
    <w:rsid w:val="005F440C"/>
    <w:rsid w:val="00611553"/>
    <w:rsid w:val="00623E7E"/>
    <w:rsid w:val="00642CC6"/>
    <w:rsid w:val="006634F8"/>
    <w:rsid w:val="00685690"/>
    <w:rsid w:val="006A17CD"/>
    <w:rsid w:val="006A22CC"/>
    <w:rsid w:val="006D64F6"/>
    <w:rsid w:val="006D7FCE"/>
    <w:rsid w:val="006F1339"/>
    <w:rsid w:val="006F75A7"/>
    <w:rsid w:val="00704E5D"/>
    <w:rsid w:val="00722C68"/>
    <w:rsid w:val="00740D0C"/>
    <w:rsid w:val="00756BE5"/>
    <w:rsid w:val="007633A4"/>
    <w:rsid w:val="0077222C"/>
    <w:rsid w:val="00782A66"/>
    <w:rsid w:val="007E3E37"/>
    <w:rsid w:val="007F1D13"/>
    <w:rsid w:val="008029D5"/>
    <w:rsid w:val="00822927"/>
    <w:rsid w:val="00831133"/>
    <w:rsid w:val="00835759"/>
    <w:rsid w:val="0084166D"/>
    <w:rsid w:val="00850F2B"/>
    <w:rsid w:val="00851C8E"/>
    <w:rsid w:val="0087260B"/>
    <w:rsid w:val="008C2EA6"/>
    <w:rsid w:val="008C53C9"/>
    <w:rsid w:val="008E7921"/>
    <w:rsid w:val="009068F0"/>
    <w:rsid w:val="00924880"/>
    <w:rsid w:val="00937CED"/>
    <w:rsid w:val="00940CD3"/>
    <w:rsid w:val="00943DC8"/>
    <w:rsid w:val="00944641"/>
    <w:rsid w:val="00955150"/>
    <w:rsid w:val="00960722"/>
    <w:rsid w:val="00972F81"/>
    <w:rsid w:val="00980920"/>
    <w:rsid w:val="009903C2"/>
    <w:rsid w:val="009911AD"/>
    <w:rsid w:val="009912BA"/>
    <w:rsid w:val="009A5A43"/>
    <w:rsid w:val="009A5C18"/>
    <w:rsid w:val="009B7F3E"/>
    <w:rsid w:val="009C2F59"/>
    <w:rsid w:val="009D05D4"/>
    <w:rsid w:val="009E592D"/>
    <w:rsid w:val="00A21031"/>
    <w:rsid w:val="00A3578C"/>
    <w:rsid w:val="00A426F4"/>
    <w:rsid w:val="00A52780"/>
    <w:rsid w:val="00A67448"/>
    <w:rsid w:val="00AA331B"/>
    <w:rsid w:val="00AA74CC"/>
    <w:rsid w:val="00AB3622"/>
    <w:rsid w:val="00AC57AD"/>
    <w:rsid w:val="00AE506B"/>
    <w:rsid w:val="00B050BB"/>
    <w:rsid w:val="00B07044"/>
    <w:rsid w:val="00B435A0"/>
    <w:rsid w:val="00B61E00"/>
    <w:rsid w:val="00B77396"/>
    <w:rsid w:val="00B8033B"/>
    <w:rsid w:val="00B96E9E"/>
    <w:rsid w:val="00BA0BBC"/>
    <w:rsid w:val="00BE20BE"/>
    <w:rsid w:val="00BE3021"/>
    <w:rsid w:val="00C01266"/>
    <w:rsid w:val="00C12824"/>
    <w:rsid w:val="00C2213A"/>
    <w:rsid w:val="00C2747F"/>
    <w:rsid w:val="00C51FE1"/>
    <w:rsid w:val="00C54C14"/>
    <w:rsid w:val="00C734A2"/>
    <w:rsid w:val="00CF3E49"/>
    <w:rsid w:val="00D00A1E"/>
    <w:rsid w:val="00D12AFF"/>
    <w:rsid w:val="00D33DA5"/>
    <w:rsid w:val="00D37AD0"/>
    <w:rsid w:val="00D65269"/>
    <w:rsid w:val="00D71933"/>
    <w:rsid w:val="00D75E67"/>
    <w:rsid w:val="00D95B02"/>
    <w:rsid w:val="00DA5FF4"/>
    <w:rsid w:val="00DA61FF"/>
    <w:rsid w:val="00DB480A"/>
    <w:rsid w:val="00DB70B1"/>
    <w:rsid w:val="00DE16BF"/>
    <w:rsid w:val="00DF1881"/>
    <w:rsid w:val="00E02EEB"/>
    <w:rsid w:val="00E2512F"/>
    <w:rsid w:val="00E31AF4"/>
    <w:rsid w:val="00E604ED"/>
    <w:rsid w:val="00E64D58"/>
    <w:rsid w:val="00E812D4"/>
    <w:rsid w:val="00E909A0"/>
    <w:rsid w:val="00E933EC"/>
    <w:rsid w:val="00EB1E16"/>
    <w:rsid w:val="00EC5FD6"/>
    <w:rsid w:val="00EC79DC"/>
    <w:rsid w:val="00ED0C56"/>
    <w:rsid w:val="00EF353F"/>
    <w:rsid w:val="00F12AF6"/>
    <w:rsid w:val="00F256D0"/>
    <w:rsid w:val="00F33D34"/>
    <w:rsid w:val="00F47588"/>
    <w:rsid w:val="00F54325"/>
    <w:rsid w:val="00F54F59"/>
    <w:rsid w:val="00F96F04"/>
    <w:rsid w:val="00FA516F"/>
    <w:rsid w:val="00FE79E4"/>
    <w:rsid w:val="00FF17B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9F215"/>
  <w15:chartTrackingRefBased/>
  <w15:docId w15:val="{8DD8CE87-ABBB-4C98-9550-42C274D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33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3"/>
      </w:numPr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3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7110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7110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110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7110"/>
    <w:pPr>
      <w:numPr>
        <w:ilvl w:val="6"/>
        <w:numId w:val="3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7110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7110"/>
    <w:pPr>
      <w:numPr>
        <w:ilvl w:val="8"/>
        <w:numId w:val="3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b/>
    </w:rPr>
  </w:style>
  <w:style w:type="paragraph" w:styleId="Zhlav">
    <w:name w:val="header"/>
    <w:basedOn w:val="Normln"/>
    <w:rsid w:val="00D75E6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756BE5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0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569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569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103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uiPriority w:val="9"/>
    <w:semiHidden/>
    <w:rsid w:val="004C71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C7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C71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C711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C7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C7110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39"/>
    <w:rsid w:val="00E3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91DF-A216-4807-8AC5-B7C5357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1254</Words>
  <Characters>7197</Characters>
  <Application>Microsoft Office Word</Application>
  <DocSecurity>0</DocSecurity>
  <Lines>150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SH ČMS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EK</dc:creator>
  <cp:keywords/>
  <dc:description/>
  <cp:lastModifiedBy>Martin Štěpánek</cp:lastModifiedBy>
  <cp:revision>6</cp:revision>
  <cp:lastPrinted>2023-06-30T12:58:00Z</cp:lastPrinted>
  <dcterms:created xsi:type="dcterms:W3CDTF">2024-05-14T12:37:00Z</dcterms:created>
  <dcterms:modified xsi:type="dcterms:W3CDTF">2025-07-22T14:15:00Z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c03505aa9f8f8e27673cbb0353a77f4b1dfb1d5ee78725b5a8829118188373ea</vt:lpwstr>
  </property>
</Properties>
</file>