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6" w:rsidRPr="006A5546" w:rsidRDefault="006A5546" w:rsidP="006A5546">
      <w:pPr>
        <w:spacing w:after="161" w:line="240" w:lineRule="auto"/>
        <w:textAlignment w:val="top"/>
        <w:outlineLvl w:val="0"/>
        <w:rPr>
          <w:rFonts w:ascii="&amp;quot" w:eastAsia="Times New Roman" w:hAnsi="&amp;quot" w:cs="Helvetica"/>
          <w:b/>
          <w:bCs/>
          <w:color w:val="374E5C"/>
          <w:kern w:val="36"/>
          <w:sz w:val="48"/>
          <w:szCs w:val="48"/>
          <w:lang w:eastAsia="cs-CZ"/>
        </w:rPr>
      </w:pPr>
      <w:r w:rsidRPr="006A5546">
        <w:rPr>
          <w:rFonts w:ascii="&amp;quot" w:eastAsia="Times New Roman" w:hAnsi="&amp;quot" w:cs="Helvetica"/>
          <w:b/>
          <w:bCs/>
          <w:noProof/>
          <w:color w:val="374E5C"/>
          <w:kern w:val="36"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0</wp:posOffset>
                </wp:positionV>
                <wp:extent cx="3743325" cy="1066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46" w:rsidRPr="008264A8" w:rsidRDefault="008264A8" w:rsidP="008264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264A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SCHŮZKY, TRÉNINKY,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SOUTĚŽE, </w:t>
                            </w:r>
                            <w:r w:rsidRPr="008264A8">
                              <w:rPr>
                                <w:b/>
                                <w:sz w:val="40"/>
                                <w:szCs w:val="40"/>
                              </w:rPr>
                              <w:t>AKCE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6.35pt;margin-top:0;width:294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" stroked="f">
                <v:textbox>
                  <w:txbxContent>
                    <w:p w:rsidR="006A5546" w:rsidRPr="008264A8" w:rsidRDefault="008264A8" w:rsidP="008264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264A8">
                        <w:rPr>
                          <w:b/>
                          <w:sz w:val="40"/>
                          <w:szCs w:val="40"/>
                        </w:rPr>
                        <w:t xml:space="preserve">SCHŮZKY, TRÉNINKY,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SOUTĚŽE, </w:t>
                      </w:r>
                      <w:r w:rsidRPr="008264A8">
                        <w:rPr>
                          <w:b/>
                          <w:sz w:val="40"/>
                          <w:szCs w:val="40"/>
                        </w:rPr>
                        <w:t>AKCE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&amp;quot" w:eastAsia="Times New Roman" w:hAnsi="&amp;quot" w:cs="Helvetica"/>
          <w:b/>
          <w:bCs/>
          <w:noProof/>
          <w:color w:val="374E5C"/>
          <w:kern w:val="36"/>
          <w:sz w:val="48"/>
          <w:szCs w:val="48"/>
          <w:lang w:eastAsia="cs-CZ"/>
        </w:rPr>
        <w:drawing>
          <wp:inline distT="0" distB="0" distL="0" distR="0">
            <wp:extent cx="1734312" cy="123748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AR_naz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Od 11</w:t>
      </w:r>
      <w:r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. května přistupuje Vláda ČR k dalšímu rozvolnění opatření vydaných v souvislosti pandemií </w:t>
      </w:r>
      <w:proofErr w:type="spellStart"/>
      <w:r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koronaviru</w:t>
      </w:r>
      <w:proofErr w:type="spellEnd"/>
      <w:r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. 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V návaznosti </w:t>
      </w:r>
      <w:r w:rsidR="008264A8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na to 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od </w:t>
      </w:r>
      <w:proofErr w:type="gramStart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12.května</w:t>
      </w:r>
      <w:proofErr w:type="gramEnd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vydalo Vedení SH ČMS Rozvol</w:t>
      </w:r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nění opatření vydaného dne 29.března 2020.</w:t>
      </w:r>
    </w:p>
    <w:p w:rsid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14. května proběhlo </w:t>
      </w:r>
      <w:proofErr w:type="spellStart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videojednání</w:t>
      </w:r>
      <w:proofErr w:type="spellEnd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ÚORM, kde jedním z bodů bylo zpracování upřesňujícího výkladu ke konání akcí pro děti a mládež SH ČMS. Výkladové stanovisko, je tvořeno výhradně východisky z dostupných zdrojů.</w:t>
      </w:r>
    </w:p>
    <w:p w:rsidR="006A5546" w:rsidRP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</w:p>
    <w:p w:rsidR="004743BB" w:rsidRDefault="006A5546" w:rsidP="006A5546">
      <w:pPr>
        <w:spacing w:after="300" w:line="240" w:lineRule="auto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Tato pravidla jsou 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u w:val="single"/>
          <w:lang w:eastAsia="cs-CZ"/>
        </w:rPr>
        <w:t>doporučujícího charakteru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a je nutné vždy vycházet z daných okolnos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tí a možností jednotlivého pobočného spolku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. </w:t>
      </w:r>
    </w:p>
    <w:p w:rsidR="006A5546" w:rsidRPr="006A5546" w:rsidRDefault="006A5546" w:rsidP="006A5546">
      <w:pPr>
        <w:spacing w:after="300" w:line="240" w:lineRule="auto"/>
        <w:rPr>
          <w:rFonts w:ascii="Helvetica" w:eastAsia="Times New Roman" w:hAnsi="Helvetica" w:cs="Helvetica"/>
          <w:b/>
          <w:color w:val="1A2C37"/>
          <w:sz w:val="28"/>
          <w:szCs w:val="28"/>
          <w:lang w:eastAsia="cs-CZ"/>
        </w:rPr>
      </w:pPr>
      <w:r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Pravidla se týkají výhradn</w:t>
      </w:r>
      <w:r w:rsidRPr="008D6A7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 xml:space="preserve">ě </w:t>
      </w:r>
      <w:r w:rsidRPr="008264A8">
        <w:rPr>
          <w:rFonts w:ascii="Helvetica" w:eastAsia="Times New Roman" w:hAnsi="Helvetica" w:cs="Helvetica"/>
          <w:b/>
          <w:color w:val="1A2C37"/>
          <w:sz w:val="28"/>
          <w:szCs w:val="28"/>
          <w:lang w:eastAsia="cs-CZ"/>
        </w:rPr>
        <w:t>venkovních akcí.</w:t>
      </w:r>
    </w:p>
    <w:p w:rsidR="004743BB" w:rsidRDefault="006A5546" w:rsidP="004743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 areálu, kde akce probíhá (trénink, soutěž, schůzka)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se musí nacházet ve stejném čase nejvýše 100 osob (včetně případných diváků).</w:t>
      </w:r>
    </w:p>
    <w:p w:rsidR="004743BB" w:rsidRPr="006A5546" w:rsidRDefault="00B45721" w:rsidP="004743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</w:t>
      </w:r>
      <w:r w:rsidR="004743BB" w:rsidRPr="004743BB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rovádět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spolkovou </w:t>
      </w:r>
      <w:r w:rsidR="004743BB" w:rsidRPr="004743BB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činnost, trénovat a soutěžit</w:t>
      </w:r>
      <w:r w:rsidR="004743BB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ve </w:t>
      </w:r>
      <w:r w:rsidR="004743BB"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skupině</w:t>
      </w:r>
      <w:r w:rsidR="004743BB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100 osob lze bez distanční vzdálenosti = bez udržování vzdálenosti 2 metrů.</w:t>
      </w:r>
    </w:p>
    <w:p w:rsidR="006A5546" w:rsidRPr="006A5546" w:rsidRDefault="004743BB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ezi </w:t>
      </w:r>
      <w:r w:rsidRPr="004743BB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skupinou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mladý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ch hasičů nebo sportovců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 w:rsidR="006A5546"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a ostatními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(trenéry, rozhodčími, diváky…)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zachovávat vzdálenost 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nejméně 2 metry.</w:t>
      </w:r>
    </w:p>
    <w:p w:rsidR="008D6A76" w:rsidRDefault="004743BB" w:rsidP="008D6A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Skupina mladých hasičů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 době schůzky, podobně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i skupina společně sportujících osob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 době tréninku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nebo soutěže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není povinna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nosit och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ranný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prostředek dýchacích cest, pokud je oddělena od jiných osob fyzickou překážkou (např. stěna nebo plot).</w:t>
      </w:r>
    </w:p>
    <w:p w:rsidR="006A5546" w:rsidRPr="006A5546" w:rsidRDefault="006A5546" w:rsidP="008D6A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Rozhodčí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při soutěži 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nejsou povinni nosit ochranný prostředek dýchacích cest, musejí ovšem dbát zvýšené opatrnosti při používání veškerých pomůcek spo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jených s výkonem jejich profese.</w:t>
      </w:r>
    </w:p>
    <w:p w:rsidR="006A5546" w:rsidRPr="006A5546" w:rsidRDefault="00B45721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 areálu (na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cvičišti, v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enkovní klubovně, na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sportovišti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)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musí být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k dispozici nádoba s dezinfekčním prostředkem na dezinfekci rukou. </w:t>
      </w:r>
    </w:p>
    <w:p w:rsidR="006A5546" w:rsidRPr="006A5546" w:rsidRDefault="00B45721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Nevyužívat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související vnitřní prostory sportoviště, tj. zejména společné šatny, umývárny, sprchy a podobn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á zařízení, a to ani rozhodčími a jiným personálem.</w:t>
      </w:r>
    </w:p>
    <w:p w:rsidR="006A5546" w:rsidRPr="006A5546" w:rsidRDefault="006A5546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Při používání toalet je nutné zabezpečit režim tak, aby se ve vnitřních prostorech nepotkávalo vícero osob; kromě možnosti dezinfekce rukou je nutné zabezpečit dezinfekci míst, kterých se běžně dotýkají ruce. </w:t>
      </w:r>
    </w:p>
    <w:p w:rsidR="006A5546" w:rsidRDefault="008D6A76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Dezinfekci společného nářadí a náčiní </w:t>
      </w:r>
      <w:r w:rsid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 nutné provádět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vždy </w:t>
      </w:r>
      <w:r w:rsidR="00EA71E9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před a 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o skončení tréninku nebo soutěže.</w:t>
      </w:r>
    </w:p>
    <w:p w:rsidR="00550B73" w:rsidRDefault="00B45721" w:rsidP="00B4572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Při soutěžích neposkytovat veřejné občerstvení.</w:t>
      </w:r>
    </w:p>
    <w:p w:rsidR="00B45721" w:rsidRDefault="00B45721" w:rsidP="00B4572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 vhodné zajistit zvýše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nou hygienu </w:t>
      </w:r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míst k sezení a stolů, pomůcek, nástrojů a materiálů včetně jejich dezinfekce a používat osobní ochranné pomůcky, pokud to stav epidemiologické situace vyžaduje</w:t>
      </w:r>
      <w:r>
        <w:rPr>
          <w:rFonts w:ascii="Calibri" w:hAnsi="Calibri" w:cs="Calibri"/>
          <w:color w:val="807F7F"/>
          <w:shd w:val="clear" w:color="auto" w:fill="FFFFFF"/>
        </w:rPr>
        <w:t>.</w:t>
      </w:r>
    </w:p>
    <w:p w:rsidR="008264A8" w:rsidRDefault="00B306D7" w:rsidP="008264A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Další úprava dokumentu bude provedena</w:t>
      </w:r>
      <w:r w:rsidR="00EA71E9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 dle aktuálních nařízení Vlády ČR, mi</w:t>
      </w: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nisterstev nebo krizových štábů tj. k 25.5.2020.</w:t>
      </w:r>
      <w:bookmarkStart w:id="0" w:name="_GoBack"/>
      <w:bookmarkEnd w:id="0"/>
    </w:p>
    <w:p w:rsidR="008264A8" w:rsidRPr="00B45721" w:rsidRDefault="008264A8" w:rsidP="008264A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14.května</w:t>
      </w:r>
      <w:proofErr w:type="gramEnd"/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 2020, ÚORM SH ČMS</w:t>
      </w:r>
    </w:p>
    <w:p w:rsidR="00B45721" w:rsidRPr="00B45721" w:rsidRDefault="00B45721" w:rsidP="00B457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 w:rsidRPr="00B45721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Zdroje: MŠMT, </w:t>
      </w:r>
      <w:r w:rsidR="008264A8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NSA, SSS, FAČR, ČRDM</w:t>
      </w:r>
    </w:p>
    <w:sectPr w:rsidR="00B45721" w:rsidRPr="00B45721" w:rsidSect="008264A8">
      <w:pgSz w:w="11906" w:h="16838"/>
      <w:pgMar w:top="144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0C15"/>
    <w:multiLevelType w:val="multilevel"/>
    <w:tmpl w:val="666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6"/>
    <w:rsid w:val="004743BB"/>
    <w:rsid w:val="00550B73"/>
    <w:rsid w:val="006A5546"/>
    <w:rsid w:val="008264A8"/>
    <w:rsid w:val="008D6A76"/>
    <w:rsid w:val="00B306D7"/>
    <w:rsid w:val="00B45721"/>
    <w:rsid w:val="00E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9ECD-064E-45AD-B406-C47FBF73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3</cp:revision>
  <dcterms:created xsi:type="dcterms:W3CDTF">2020-05-13T10:50:00Z</dcterms:created>
  <dcterms:modified xsi:type="dcterms:W3CDTF">2020-05-15T10:17:00Z</dcterms:modified>
</cp:coreProperties>
</file>